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3 (Continuous Improvement) </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Buyer’s Rights</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Supplier’s Obligations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426" w:right="0" w:hanging="426"/>
        <w:jc w:val="left"/>
        <w:rPr>
          <w:rFonts w:ascii="Arial" w:cs="Arial" w:eastAsia="Arial" w:hAnsi="Arial"/>
          <w:b w:val="1"/>
          <w:i w:val="0"/>
          <w:smallCaps w:val="1"/>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19">
      <w:pPr>
        <w:rPr/>
      </w:pPr>
      <w:bookmarkStart w:colFirst="0" w:colLast="0" w:name="_heading=h.3dy6vkm" w:id="6"/>
      <w:bookmarkEnd w:id="6"/>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2">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RM6323</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8">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MuKkEE8TYbU1d7Xw76QpQcUjQnA==">AMUW2mXL+TVG9BKeHFG3cQ9BFSpJijWTWPzSaD9gQu/lhMGhYwZ2SNdS7IgvDQKX53Mr2Ojr7mlcixxE3OuOCphAZlX45/7KBIDvNjx1wuJPVRhwCcB7WdrcuhHvlsF0TGWfTUP09z4hYAPspAIZw4tAEKUnbzxyFyYNxlaX/fuX5a2a5fNcUyS8ObNotyz8u1maGulviX2jdvhwMrbKakd29doZj8qetw==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